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146F39" w:rsidRDefault="00146F39" w:rsidP="00146F39">
      <w:pPr>
        <w:jc w:val="center"/>
      </w:pPr>
      <w:r>
        <w:t>09.02.06 Сетевое и системное администрирование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146F39">
            <w:pPr>
              <w:jc w:val="center"/>
              <w:rPr>
                <w:b/>
              </w:rPr>
            </w:pPr>
            <w:r w:rsidRPr="00146F39">
              <w:rPr>
                <w:b/>
              </w:rPr>
              <w:t>ПМ 01. Настройка сетевой инфраструктуры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146F39">
            <w:pPr>
              <w:jc w:val="center"/>
              <w:rPr>
                <w:b/>
              </w:rPr>
            </w:pPr>
            <w:r w:rsidRPr="00146F39">
              <w:rPr>
                <w:b/>
              </w:rPr>
              <w:t>ПМ 02. Организация сетевого администрирования операционных систем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146F39">
            <w:pPr>
              <w:jc w:val="center"/>
              <w:rPr>
                <w:b/>
              </w:rPr>
            </w:pPr>
            <w:r w:rsidRPr="00146F39">
              <w:rPr>
                <w:b/>
              </w:rPr>
              <w:t>ПМ 03. Эксплуатация объектов сетевой инфраструктуры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 w:rsidRPr="00146F39"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146F39"/>
    <w:rsid w:val="00603A50"/>
    <w:rsid w:val="00675BA5"/>
    <w:rsid w:val="00831C3E"/>
    <w:rsid w:val="00956E19"/>
    <w:rsid w:val="00D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2024-07-29T12:00:00Z</dcterms:created>
  <dcterms:modified xsi:type="dcterms:W3CDTF">2024-07-29T12:04:00Z</dcterms:modified>
</cp:coreProperties>
</file>